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ind w:left="-5" w:right="-8" w:hanging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Анализ результатов государственной итоговой аттестации</w:t>
      </w:r>
    </w:p>
    <w:p>
      <w:pPr>
        <w:pStyle w:val="Normal"/>
        <w:spacing w:lineRule="auto" w:line="276" w:before="0" w:after="0"/>
        <w:ind w:left="-5" w:right="-8" w:hanging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по программам среднего общего образования в 2024 году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Цель:</w:t>
      </w:r>
      <w:r>
        <w:rPr>
          <w:rFonts w:cs="Times New Roman" w:ascii="Times New Roman" w:hAnsi="Times New Roman"/>
          <w:sz w:val="24"/>
          <w:szCs w:val="24"/>
        </w:rPr>
        <w:t xml:space="preserve"> определение качества образования обучающихся по результатам внешней независимой оценки.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Подготовка к проведению ГИА-2024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ГИА в 2024 году проводилась в соответствии с распорядительными документами: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-Приказ Министерства просвещения Российской Федерации и Федеральной службы по надзору в сфере образования и науки от 18.12.2023 года № 954/2117 «Об утверждении единого расписания и продолжительности проведения единого государственного экзамена по образовательным программам среднего общего образования по каждому учебному предмету, требований к использованию средств обучения и воспитания при его проведении в 2024 году»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-Приказ Министерства просвещения РФ и Рособрнадзора от 12.04.2023 года № 243/802 «О внесении изменений в Порядок проведения государственной итоговой аттестации по программам среднего общего образования, утвержденный приказом от 04.04. 2024 году №233/552»;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</w:t>
      </w:r>
      <w:r>
        <w:rPr>
          <w:rFonts w:cs="Times New Roman" w:ascii="Times New Roman" w:hAnsi="Times New Roman"/>
          <w:sz w:val="24"/>
          <w:szCs w:val="24"/>
        </w:rPr>
        <w:t xml:space="preserve">Письмо Федеральной службы по надзору в сфере образования и науки от 14.05.2024 № 04-1134 «Разъяснения об особенностях ГИА-2024»;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-Методические рекомендации по подготовке и проведению государственной итоговой аттестации по образовательным программам основного общего и среднего общего образования в 2024 году.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Подготовительный этап к государственной итоговой аттестации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соответствии с планом мероприятий по подготовке к государственной итоговой аттестации в МАОУ СОШ №5 была сформирована нормативно-правовая база, регламентирующая деятельность администрации школы, учителей и учащихся. Были оформлены стенды «Государственная итоговая аттестация», на которых размещена основная информация, касающаяся особенностей проведения ОГЭ и ЕГЭ, ГВЭ в 2024 году, правила заполнения бланков, советы психолога по преодолению тревожности, связанной с прохождением итоговой аттестации, ссылки на основные образовательные интернет порталы, сроки проведения государственной итоговой аттестации в 2024 году, другая полезная информация. Стенды, содержащие информацию об особенностях ОГЭ и ЕГЭ по каждому предмету, были также оформлены в предметных кабинетах.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Вся необходимая информация была размещена на официальном сайте МАОУ СОШ №5. Согласно утвержденному плану в течение года были проведены единые классные собрания, классные часы, круглые столы для учащихся 9-х и 11-х классов, где выпускники и их родители были ознакомлены с нормативно-правовой базой проведения ГИА в 2024 году.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Особое внимание было уделено правовым вопросам организации и проведения государственной итоговой аттестации: соблюдению информационной безопасности и ответственности за ее нарушение, о поведении выпускников на экзамене.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течение года осуществлялось постоянное информирование учащихся 9-х и 11-х классов и их родителей (законных представителей)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собраний. В течение года учителя-предметники знакомили учащихся с демоверсиями, кодификаторами, спецификациями экзаменов.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течение 2023-2024 учебного года в школе велась целенаправленная, планомерная, систематическая подготовка участников образовательного процесса к ГИА.  В соответствии с нормативно-правовыми документами по организации и проведению ГИА, был разработан план-график подготовки учащихся к ОГЭ и ЕГЭ в годовом плане работы школы.  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 данным администрация школы, методические объединения, наметили планы работы по подготовке учащихся к государственной итоговой аттестации. В течение учебного года для учителей-предметников проводились совещания, на которых были рассмотрены основные вопросы проведения ГИА в 2024 году.  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начале 2023-2024 учебного года сформирована предварительная база данных по учащимся школы для сдачи ОГЭ и ЕГЭ-2024, которая обновлялась в течение года. Каждый выбор ученика анализировался с учеником и их родителем и до закрытия базы редактировалась. Учителя-предметники уделяли большое внимание разбору различных вариантов тестовых заданий на уроках, дополнительных и индивидуальных занятиях, правильности заполнения бланков.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Проведены внутришкольные пробные экзамены по русскому языку и математике и по предметам по выбору в форме и по материалам ОГЭ и ЕГЭ. До сведения учащихся и родителей (законных представителей)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работы планов мероприятий по подготовке к ГИА.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Вопрос подготовки к ГИА в течение года был на внутришкольном контроле. Контролировалась работа с бланками, КИМами, посещаемость занятий учащимися, организация подготовки к ОГЭ и ЕГЭ на уроках и индивидуальных занятиях. В соответствии с планом внутришкольного контроля администрацией школы были проведены тематические проверки и проанализированы работа по следующим показателям: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</w:t>
      </w:r>
      <w:r>
        <w:rPr>
          <w:rFonts w:cs="Times New Roman" w:ascii="Times New Roman" w:hAnsi="Times New Roman"/>
          <w:sz w:val="24"/>
          <w:szCs w:val="24"/>
        </w:rPr>
        <w:t xml:space="preserve">выполнение общеобразовательных программ в выпускных классах;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</w:t>
      </w:r>
      <w:r>
        <w:rPr>
          <w:rFonts w:cs="Times New Roman" w:ascii="Times New Roman" w:hAnsi="Times New Roman"/>
          <w:sz w:val="24"/>
          <w:szCs w:val="24"/>
        </w:rPr>
        <w:t xml:space="preserve">организация повторения учебного материала;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</w:t>
      </w:r>
      <w:r>
        <w:rPr>
          <w:rFonts w:cs="Times New Roman" w:ascii="Times New Roman" w:hAnsi="Times New Roman"/>
          <w:sz w:val="24"/>
          <w:szCs w:val="24"/>
        </w:rPr>
        <w:t>соответствие уровня знаний выпускников 9 класса обязательному минимуму содержания основного общего образования и требованиям к уровню подготовки выпускников (административные контрольные работы);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</w:t>
      </w:r>
      <w:r>
        <w:rPr>
          <w:rFonts w:cs="Times New Roman" w:ascii="Times New Roman" w:hAnsi="Times New Roman"/>
          <w:sz w:val="24"/>
          <w:szCs w:val="24"/>
        </w:rPr>
        <w:t xml:space="preserve">готовность ОУ к участию в государственной итоговой аттестации;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</w:t>
      </w:r>
      <w:r>
        <w:rPr>
          <w:rFonts w:cs="Times New Roman" w:ascii="Times New Roman" w:hAnsi="Times New Roman"/>
          <w:sz w:val="24"/>
          <w:szCs w:val="24"/>
        </w:rPr>
        <w:t xml:space="preserve">система учета знаний учащихся;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</w:t>
      </w:r>
      <w:r>
        <w:rPr>
          <w:rFonts w:cs="Times New Roman" w:ascii="Times New Roman" w:hAnsi="Times New Roman"/>
          <w:sz w:val="24"/>
          <w:szCs w:val="24"/>
        </w:rPr>
        <w:t xml:space="preserve">контроль преподавания ориентационных и предметных курсов в рамках подготовки к ГИА. 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ее организованному проведению.</w:t>
      </w:r>
    </w:p>
    <w:p>
      <w:pPr>
        <w:pStyle w:val="Normal"/>
        <w:spacing w:lineRule="auto" w:line="276" w:before="0" w:after="0"/>
        <w:ind w:left="1500" w:hang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Итоговая аттестация учащихся 11 классов</w:t>
      </w:r>
    </w:p>
    <w:p>
      <w:pPr>
        <w:pStyle w:val="ListParagraph"/>
        <w:spacing w:lineRule="auto" w:line="276" w:before="0" w:after="0"/>
        <w:ind w:left="0"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Выбор предметов в 11 классе распределился следующим образом:</w:t>
      </w:r>
    </w:p>
    <w:tbl>
      <w:tblPr>
        <w:tblStyle w:val="a6"/>
        <w:tblpPr w:bottomFromText="0" w:horzAnchor="margin" w:leftFromText="180" w:rightFromText="180" w:tblpX="0" w:tblpY="39" w:topFromText="0" w:vertAnchor="text"/>
        <w:tblW w:w="99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92"/>
        <w:gridCol w:w="1277"/>
        <w:gridCol w:w="1274"/>
        <w:gridCol w:w="994"/>
        <w:gridCol w:w="1274"/>
        <w:gridCol w:w="1420"/>
        <w:gridCol w:w="1586"/>
      </w:tblGrid>
      <w:tr>
        <w:trPr>
          <w:trHeight w:val="467" w:hRule="atLeast"/>
        </w:trPr>
        <w:tc>
          <w:tcPr>
            <w:tcW w:w="20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Англ.язык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</w:tr>
      <w:tr>
        <w:trPr>
          <w:trHeight w:val="414" w:hRule="atLeast"/>
        </w:trPr>
        <w:tc>
          <w:tcPr>
            <w:tcW w:w="20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Результаты по русскому языку</w:t>
      </w:r>
    </w:p>
    <w:tbl>
      <w:tblPr>
        <w:tblStyle w:val="a6"/>
        <w:tblW w:w="86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679"/>
        <w:gridCol w:w="845"/>
        <w:gridCol w:w="862"/>
        <w:gridCol w:w="804"/>
        <w:gridCol w:w="858"/>
        <w:gridCol w:w="853"/>
        <w:gridCol w:w="854"/>
        <w:gridCol w:w="852"/>
        <w:gridCol w:w="1039"/>
      </w:tblGrid>
      <w:tr>
        <w:trPr>
          <w:trHeight w:val="150" w:hRule="atLeast"/>
        </w:trPr>
        <w:tc>
          <w:tcPr>
            <w:tcW w:w="167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Кол-во</w:t>
            </w:r>
          </w:p>
        </w:tc>
        <w:tc>
          <w:tcPr>
            <w:tcW w:w="6967" w:type="dxa"/>
            <w:gridSpan w:val="8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Баллы</w:t>
            </w:r>
          </w:p>
        </w:tc>
      </w:tr>
      <w:tr>
        <w:trPr>
          <w:trHeight w:val="120" w:hRule="atLeast"/>
        </w:trPr>
        <w:tc>
          <w:tcPr>
            <w:tcW w:w="16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</w:rPr>
            </w:r>
          </w:p>
        </w:tc>
        <w:tc>
          <w:tcPr>
            <w:tcW w:w="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0-24</w:t>
            </w:r>
          </w:p>
        </w:tc>
        <w:tc>
          <w:tcPr>
            <w:tcW w:w="8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25-40</w:t>
            </w:r>
          </w:p>
        </w:tc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41-50</w:t>
            </w:r>
          </w:p>
        </w:tc>
        <w:tc>
          <w:tcPr>
            <w:tcW w:w="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51-60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61-70</w:t>
            </w:r>
          </w:p>
        </w:tc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71-80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81-90</w:t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91-100</w:t>
            </w:r>
          </w:p>
        </w:tc>
      </w:tr>
      <w:tr>
        <w:trPr>
          <w:trHeight w:val="385" w:hRule="atLeast"/>
        </w:trPr>
        <w:tc>
          <w:tcPr>
            <w:tcW w:w="16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8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Успеваемость 100%, средний тестовый балл – 66,6 б.Самый высокий балл, полученный выпускницей - 94 балла (Мухаммадиева Карина.)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Результаты по математике (профильная)</w:t>
      </w:r>
    </w:p>
    <w:tbl>
      <w:tblPr>
        <w:tblStyle w:val="a6"/>
        <w:tblW w:w="864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677"/>
        <w:gridCol w:w="853"/>
        <w:gridCol w:w="870"/>
        <w:gridCol w:w="840"/>
        <w:gridCol w:w="836"/>
        <w:gridCol w:w="837"/>
        <w:gridCol w:w="835"/>
        <w:gridCol w:w="837"/>
        <w:gridCol w:w="1055"/>
      </w:tblGrid>
      <w:tr>
        <w:trPr>
          <w:trHeight w:val="409" w:hRule="atLeast"/>
        </w:trPr>
        <w:tc>
          <w:tcPr>
            <w:tcW w:w="167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Кол-во</w:t>
            </w:r>
          </w:p>
        </w:tc>
        <w:tc>
          <w:tcPr>
            <w:tcW w:w="6963" w:type="dxa"/>
            <w:gridSpan w:val="8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Баллы</w:t>
            </w:r>
          </w:p>
        </w:tc>
      </w:tr>
      <w:tr>
        <w:trPr>
          <w:trHeight w:val="516" w:hRule="atLeast"/>
        </w:trPr>
        <w:tc>
          <w:tcPr>
            <w:tcW w:w="167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0-26</w:t>
            </w:r>
          </w:p>
        </w:tc>
        <w:tc>
          <w:tcPr>
            <w:tcW w:w="8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137" w:right="0" w:hang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27-40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41-50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51-60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61-70</w:t>
            </w:r>
          </w:p>
        </w:tc>
        <w:tc>
          <w:tcPr>
            <w:tcW w:w="8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71-80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81-90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91-100</w:t>
            </w:r>
          </w:p>
        </w:tc>
      </w:tr>
      <w:tr>
        <w:trPr>
          <w:trHeight w:val="385" w:hRule="atLeast"/>
        </w:trPr>
        <w:tc>
          <w:tcPr>
            <w:tcW w:w="1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8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8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8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Успеваемость 100%, средний тестовый балл – 71,5 б. Самый высокий балл, получен выпускником- 86 баллов. 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Результаты по математике (базовый уровень)</w:t>
      </w:r>
    </w:p>
    <w:tbl>
      <w:tblPr>
        <w:tblStyle w:val="a6"/>
        <w:tblW w:w="861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701"/>
        <w:gridCol w:w="853"/>
        <w:gridCol w:w="871"/>
        <w:gridCol w:w="840"/>
        <w:gridCol w:w="945"/>
        <w:gridCol w:w="1278"/>
        <w:gridCol w:w="990"/>
        <w:gridCol w:w="1134"/>
      </w:tblGrid>
      <w:tr>
        <w:trPr>
          <w:trHeight w:val="150" w:hRule="atLeast"/>
        </w:trPr>
        <w:tc>
          <w:tcPr>
            <w:tcW w:w="17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Кол-во</w:t>
            </w:r>
          </w:p>
        </w:tc>
        <w:tc>
          <w:tcPr>
            <w:tcW w:w="3509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Оценки</w:t>
            </w:r>
          </w:p>
        </w:tc>
        <w:tc>
          <w:tcPr>
            <w:tcW w:w="127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Успев. %</w:t>
            </w:r>
          </w:p>
        </w:tc>
        <w:tc>
          <w:tcPr>
            <w:tcW w:w="99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Кач %</w:t>
            </w:r>
          </w:p>
        </w:tc>
        <w:tc>
          <w:tcPr>
            <w:tcW w:w="113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Ср.балл</w:t>
            </w:r>
          </w:p>
        </w:tc>
      </w:tr>
      <w:tr>
        <w:trPr>
          <w:trHeight w:val="120" w:hRule="atLeast"/>
        </w:trPr>
        <w:tc>
          <w:tcPr>
            <w:tcW w:w="17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«5»</w:t>
            </w:r>
          </w:p>
        </w:tc>
        <w:tc>
          <w:tcPr>
            <w:tcW w:w="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«4»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«3»</w:t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«2»</w:t>
            </w:r>
          </w:p>
        </w:tc>
        <w:tc>
          <w:tcPr>
            <w:tcW w:w="127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</w:rPr>
            </w:r>
          </w:p>
        </w:tc>
        <w:tc>
          <w:tcPr>
            <w:tcW w:w="99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</w:rPr>
            </w:r>
          </w:p>
        </w:tc>
      </w:tr>
      <w:tr>
        <w:trPr>
          <w:trHeight w:val="385" w:hRule="atLeast"/>
        </w:trPr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9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0</w:t>
            </w:r>
          </w:p>
        </w:tc>
        <w:tc>
          <w:tcPr>
            <w:tcW w:w="12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9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</w:tr>
    </w:tbl>
    <w:p>
      <w:pPr>
        <w:pStyle w:val="Normal"/>
        <w:spacing w:lineRule="auto" w:line="276" w:before="0" w:after="0"/>
        <w:rPr/>
      </w:pPr>
      <w:r>
        <w:rPr>
          <w:rFonts w:cs="Times New Roman" w:ascii="Times New Roman" w:hAnsi="Times New Roman"/>
          <w:bCs/>
          <w:sz w:val="24"/>
          <w:szCs w:val="24"/>
        </w:rPr>
        <w:t>Успеваемость 100%, качество -100%, средний тестовый балл – 5 б. и средний отметочный по пятибальной шкале –5.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Результаты по предметам по выбору:</w:t>
      </w:r>
    </w:p>
    <w:p>
      <w:pPr>
        <w:pStyle w:val="Normal"/>
        <w:spacing w:lineRule="auto" w:line="259" w:before="0" w:after="0"/>
        <w:ind w:left="-142" w:firstLine="85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Выпускники выбирали предметы, планируя использовать результаты экзамена при поступлении в ВУЗ. </w:t>
      </w:r>
    </w:p>
    <w:tbl>
      <w:tblPr>
        <w:tblStyle w:val="a6"/>
        <w:tblW w:w="10065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41"/>
        <w:gridCol w:w="1985"/>
        <w:gridCol w:w="1276"/>
        <w:gridCol w:w="2268"/>
        <w:gridCol w:w="2695"/>
      </w:tblGrid>
      <w:tr>
        <w:trPr>
          <w:trHeight w:val="565" w:hRule="atLeast"/>
        </w:trPr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Предмет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Учитель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Кол-во участников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85" w:right="-107" w:hang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Сред. количество баллов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85" w:right="-107" w:hang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Наименьший/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85" w:right="-107" w:hang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Максимальный балл</w:t>
            </w:r>
          </w:p>
        </w:tc>
      </w:tr>
      <w:tr>
        <w:trPr>
          <w:trHeight w:val="385" w:hRule="atLeast"/>
        </w:trPr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Химия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Соловьева Л.И.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46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sz w:val="22"/>
              </w:rPr>
            </w:r>
          </w:p>
        </w:tc>
      </w:tr>
      <w:tr>
        <w:trPr>
          <w:trHeight w:val="419" w:hRule="atLeast"/>
        </w:trPr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Биология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Миназетдинова Г.И.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43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sz w:val="22"/>
              </w:rPr>
            </w:r>
          </w:p>
        </w:tc>
      </w:tr>
      <w:tr>
        <w:trPr>
          <w:trHeight w:val="1124" w:hRule="atLeast"/>
        </w:trPr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Обществознание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Фазлыева В.Р.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50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20/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66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</w:p>
        </w:tc>
      </w:tr>
      <w:tr>
        <w:trPr>
          <w:trHeight w:val="375" w:hRule="atLeast"/>
        </w:trPr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История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Фазлыева В.Р.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55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Т</w:t>
            </w:r>
          </w:p>
        </w:tc>
      </w:tr>
      <w:tr>
        <w:trPr>
          <w:trHeight w:val="409" w:hRule="atLeast"/>
        </w:trPr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Физика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Романова Д.М.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63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41/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82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</w:p>
        </w:tc>
      </w:tr>
      <w:tr>
        <w:trPr>
          <w:trHeight w:val="525" w:hRule="atLeast"/>
        </w:trPr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Англ. язык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Булатова Л.Ш.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80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sz w:val="22"/>
              </w:rPr>
            </w:r>
          </w:p>
        </w:tc>
      </w:tr>
      <w:tr>
        <w:trPr>
          <w:trHeight w:val="525" w:hRule="atLeast"/>
        </w:trPr>
        <w:tc>
          <w:tcPr>
            <w:tcW w:w="1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Информатика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Ананьева Ю.И.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>75</w:t>
            </w:r>
          </w:p>
        </w:tc>
        <w:tc>
          <w:tcPr>
            <w:tcW w:w="26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75 </w:t>
            </w:r>
          </w:p>
        </w:tc>
      </w:tr>
    </w:tbl>
    <w:p>
      <w:pPr>
        <w:pStyle w:val="Normal"/>
        <w:widowControl w:val="false"/>
        <w:overflowPunct w:val="false"/>
        <w:spacing w:lineRule="auto" w:line="276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Сравнительная характеристика среднего балла ЕГЭ по предметам</w:t>
      </w:r>
    </w:p>
    <w:tbl>
      <w:tblPr>
        <w:tblW w:w="10065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83"/>
        <w:gridCol w:w="711"/>
        <w:gridCol w:w="848"/>
        <w:gridCol w:w="853"/>
        <w:gridCol w:w="991"/>
        <w:gridCol w:w="852"/>
        <w:gridCol w:w="991"/>
        <w:gridCol w:w="994"/>
        <w:gridCol w:w="849"/>
        <w:gridCol w:w="992"/>
      </w:tblGrid>
      <w:tr>
        <w:trPr>
          <w:trHeight w:val="330" w:hRule="atLeast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80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</w:tr>
      <w:tr>
        <w:trPr>
          <w:trHeight w:val="240" w:hRule="atLeast"/>
        </w:trPr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По РТ</w:t>
            </w:r>
          </w:p>
        </w:tc>
      </w:tr>
      <w:tr>
        <w:trPr>
          <w:trHeight w:val="210" w:hRule="atLeast"/>
        </w:trPr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2024</w:t>
            </w:r>
          </w:p>
        </w:tc>
      </w:tr>
      <w:tr>
        <w:trPr/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65,6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75,28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64,8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72,8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72,01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67,13</w:t>
            </w:r>
          </w:p>
        </w:tc>
      </w:tr>
      <w:tr>
        <w:trPr>
          <w:trHeight w:val="670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Математика  (база)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4,24</w:t>
            </w:r>
          </w:p>
        </w:tc>
      </w:tr>
      <w:tr>
        <w:trPr>
          <w:trHeight w:val="300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Математика  (профиль)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70,6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68,87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71,2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62,53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69,95</w:t>
            </w:r>
          </w:p>
        </w:tc>
      </w:tr>
      <w:tr>
        <w:trPr>
          <w:trHeight w:val="552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80,38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70,2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80,39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74,05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75,82</w:t>
            </w:r>
          </w:p>
        </w:tc>
      </w:tr>
      <w:tr>
        <w:trPr/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58,4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58,94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68,48</w:t>
            </w:r>
          </w:p>
        </w:tc>
      </w:tr>
      <w:tr>
        <w:trPr/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58,75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54,6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52,13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56,7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57,41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60,56</w:t>
            </w:r>
          </w:p>
        </w:tc>
      </w:tr>
      <w:tr>
        <w:trPr/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60,8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69,4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66,2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58,3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61,09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59,48</w:t>
            </w:r>
          </w:p>
        </w:tc>
      </w:tr>
      <w:tr>
        <w:trPr/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56,5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60,60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60,47</w:t>
            </w:r>
          </w:p>
        </w:tc>
      </w:tr>
      <w:tr>
        <w:trPr/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49,9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66,8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51,6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66,74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66,94</w:t>
            </w:r>
          </w:p>
        </w:tc>
      </w:tr>
      <w:tr>
        <w:trPr/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67,8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53,9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63,96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59,79</w:t>
            </w:r>
          </w:p>
        </w:tc>
      </w:tr>
    </w:tbl>
    <w:p>
      <w:pPr>
        <w:pStyle w:val="Normal"/>
        <w:spacing w:lineRule="auto" w:line="276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Сравнительный анализ результатов со школой,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</w:rPr>
        <w:t>с Бавлинским районом и Республикой Татарстан:</w:t>
      </w:r>
    </w:p>
    <w:tbl>
      <w:tblPr>
        <w:tblW w:w="9640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126"/>
        <w:gridCol w:w="849"/>
        <w:gridCol w:w="994"/>
        <w:gridCol w:w="1276"/>
        <w:gridCol w:w="1419"/>
        <w:gridCol w:w="1274"/>
        <w:gridCol w:w="1701"/>
      </w:tblGrid>
      <w:tr>
        <w:trPr/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Бавлинский район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Республика Татарстан</w:t>
            </w:r>
          </w:p>
        </w:tc>
      </w:tr>
      <w:tr>
        <w:trPr/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ср. оценка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динамика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ср. оценка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динамика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+1,8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67,13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-0,53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Математика (база)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+0,26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+0,76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Математика  (проф)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+0,3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69,95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+1,55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+9,8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+4,18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52,13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-9,13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-17,56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-8,3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59,48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-9,48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-8,6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66,94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-20,94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overflowPunct w:val="false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+21,1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59,79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+15,21</w:t>
            </w:r>
          </w:p>
        </w:tc>
      </w:tr>
    </w:tbl>
    <w:p>
      <w:pPr>
        <w:pStyle w:val="Normal"/>
        <w:spacing w:before="0" w:after="3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tbl>
      <w:tblPr>
        <w:tblW w:w="9465" w:type="dxa"/>
        <w:jc w:val="left"/>
        <w:tblInd w:w="75" w:type="dxa"/>
        <w:tblLayout w:type="fixed"/>
        <w:tblCellMar>
          <w:top w:w="9" w:type="dxa"/>
          <w:left w:w="106" w:type="dxa"/>
          <w:bottom w:w="0" w:type="dxa"/>
          <w:right w:w="40" w:type="dxa"/>
        </w:tblCellMar>
        <w:tblLook w:val="04a0"/>
      </w:tblPr>
      <w:tblGrid>
        <w:gridCol w:w="2408"/>
        <w:gridCol w:w="3828"/>
        <w:gridCol w:w="3229"/>
      </w:tblGrid>
      <w:tr>
        <w:trPr>
          <w:trHeight w:val="331" w:hRule="atLeast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hanging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Суммарный балл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2022-2023 уч. год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2023-2024 уч.год</w:t>
            </w:r>
          </w:p>
        </w:tc>
      </w:tr>
      <w:tr>
        <w:trPr>
          <w:trHeight w:val="653" w:hRule="atLeast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2373" w:leader="none"/>
              </w:tabs>
              <w:spacing w:before="0" w:after="31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Общее кол-во</w:t>
            </w:r>
          </w:p>
          <w:p>
            <w:pPr>
              <w:pStyle w:val="Normal"/>
              <w:widowControl w:val="false"/>
              <w:spacing w:before="0" w:after="0"/>
              <w:ind w:left="2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выпускников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>
          <w:trHeight w:val="653" w:hRule="atLeast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3"/>
              <w:ind w:left="2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100 баллов по</w:t>
            </w:r>
          </w:p>
          <w:p>
            <w:pPr>
              <w:pStyle w:val="Normal"/>
              <w:widowControl w:val="false"/>
              <w:spacing w:before="0" w:after="0"/>
              <w:ind w:left="2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 предмету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90-100 баллов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98- английский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Романова Римма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90- английский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Сахипгараева Элина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91- русский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Сахипгараева Элина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>Итого – 2 предмета/2 об.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94 – русский язык, Мухаммадиева Карина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91 – русский язык, Шайхевалиев Ильнар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>Итого – 1 предмет/2 об.</w:t>
            </w:r>
          </w:p>
        </w:tc>
      </w:tr>
      <w:tr>
        <w:trPr>
          <w:trHeight w:val="1261" w:hRule="atLeast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80-90 баллов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87 – русский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Амиршина Диана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82 – химия,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Коновалов Артем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73 – химия,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МухаметзяновРадель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82 – биология,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Гафуров Анас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83 – обществознание,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Сахипгараева Элина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>Итого – 4 предмета/5 об.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82 – физика,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Шайхевалиев Ильнар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80 – математика (проф.),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ИдиятуллинаАделина,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Петров Иван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82 - математика (проф.),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Тургунбаев Альмир,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86 - математика (проф.),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Шайхевалиев Ильнар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81 – русский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Петров Иван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>Итого – 4 предмета/4 об.</w:t>
            </w:r>
          </w:p>
        </w:tc>
      </w:tr>
      <w:tr>
        <w:trPr>
          <w:trHeight w:val="2104" w:hRule="atLeast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70-80 баллов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72 – информатика,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Хафизов Рузиль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70 – русский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Хафизов Рузиль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79 – русский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Романова Римма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77 – русский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Хафизова Анэлия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72 – русский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ИбатоваАделя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72 – русский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Мартынова Элина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73 – русский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Гафуров Анас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74 – химия,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Амиршина Диана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71 – химия,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Гафуров Анас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>Итого – 3 предметов/7 об.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70- русский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ИдиятуллинаАделина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72 - русский язык,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Тургунбаев Альмир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74 – математика (проф.),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Валиев Раниль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80- математика (проф.),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ИдиятуллинаАделина,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Петров Иван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82- математика (проф.),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Тургунбаев Альмир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72- математика (проф.),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Ямалетдинова Зарина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71 – физика,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Валиев Раниль,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Петров Иван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75 - информатика,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Тургунбаев Альмир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80 – английский язык, Мухаммадиева Карина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>Итого – 5 предметов/6 об.</w:t>
            </w:r>
          </w:p>
        </w:tc>
      </w:tr>
      <w:tr>
        <w:trPr>
          <w:trHeight w:val="849" w:hRule="atLeast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2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Кол-во не набравших минимальное количество баллов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5"/>
              <w:ind w:left="36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 – обществознание</w:t>
            </w:r>
          </w:p>
          <w:p>
            <w:pPr>
              <w:pStyle w:val="Normal"/>
              <w:widowControl w:val="false"/>
              <w:spacing w:before="0" w:after="15"/>
              <w:ind w:left="36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(Минязев Данил)</w:t>
            </w:r>
          </w:p>
          <w:p>
            <w:pPr>
              <w:pStyle w:val="Normal"/>
              <w:widowControl w:val="false"/>
              <w:spacing w:before="0" w:after="15"/>
              <w:ind w:left="36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 – химия (Шарапова Эмма)</w:t>
            </w:r>
          </w:p>
          <w:p>
            <w:pPr>
              <w:pStyle w:val="Normal"/>
              <w:widowControl w:val="false"/>
              <w:spacing w:before="0" w:after="15"/>
              <w:ind w:left="36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 xml:space="preserve">Итого – </w:t>
            </w: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val="en-US"/>
              </w:rPr>
              <w:t xml:space="preserve">2 </w:t>
            </w: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>предмета/</w:t>
            </w:r>
            <w:r>
              <w:rPr>
                <w:rFonts w:eastAsia="Calibri" w:cs="Times New Roman" w:ascii="Times New Roman" w:hAnsi="Times New Roman"/>
                <w:i/>
                <w:sz w:val="24"/>
                <w:szCs w:val="24"/>
                <w:lang w:val="en-US"/>
              </w:rPr>
              <w:t>2</w:t>
            </w: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  <w:t xml:space="preserve"> об.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5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 – обществознание</w:t>
            </w:r>
          </w:p>
          <w:p>
            <w:pPr>
              <w:pStyle w:val="Normal"/>
              <w:widowControl w:val="false"/>
              <w:spacing w:before="0" w:after="15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(Балмасов Антон)</w:t>
            </w:r>
          </w:p>
          <w:p>
            <w:pPr>
              <w:pStyle w:val="Normal"/>
              <w:widowControl w:val="false"/>
              <w:spacing w:before="0" w:after="15"/>
              <w:ind w:left="36" w:hanging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tbl>
      <w:tblPr>
        <w:tblStyle w:val="1"/>
        <w:tblpPr w:bottomFromText="0" w:horzAnchor="margin" w:leftFromText="180" w:rightFromText="180" w:tblpX="0" w:tblpY="326" w:topFromText="0" w:vertAnchor="text"/>
        <w:tblW w:w="9465" w:type="dxa"/>
        <w:jc w:val="left"/>
        <w:tblInd w:w="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10"/>
        <w:gridCol w:w="1995"/>
        <w:gridCol w:w="1980"/>
        <w:gridCol w:w="1725"/>
        <w:gridCol w:w="2355"/>
      </w:tblGrid>
      <w:tr>
        <w:trPr/>
        <w:tc>
          <w:tcPr>
            <w:tcW w:w="14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 учащихся</w:t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 них допущены</w:t>
            </w:r>
          </w:p>
        </w:tc>
        <w:tc>
          <w:tcPr>
            <w:tcW w:w="606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Получили документы об образовании</w:t>
            </w:r>
          </w:p>
        </w:tc>
      </w:tr>
      <w:tr>
        <w:trPr/>
        <w:tc>
          <w:tcPr>
            <w:tcW w:w="141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99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Обычного  образца</w:t>
            </w:r>
          </w:p>
        </w:tc>
        <w:tc>
          <w:tcPr>
            <w:tcW w:w="172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медалью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степени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медалью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степени</w:t>
            </w:r>
          </w:p>
        </w:tc>
      </w:tr>
      <w:tr>
        <w:trPr>
          <w:trHeight w:val="419" w:hRule="atLeast"/>
        </w:trPr>
        <w:tc>
          <w:tcPr>
            <w:tcW w:w="14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72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355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выпускники 11 класса по результатам участия на ЕГЭ в основной период получили аттестат о среднем общем образовании и из них: 2 ученика получили аттестат с отличим и удостоены медали «За особые успехи в учебе» 1 степени; 1 ученица  удостоена медали «За особые успехи в учебе» 2 степени.</w:t>
      </w:r>
    </w:p>
    <w:p>
      <w:pPr>
        <w:pStyle w:val="NoSpacing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К сожалению, 1 выпускница, претендентка на медаль «За особые успехи в учебе» 2 степени  не смогла набрать не менее 60 баллов по одному из сдаваемых предметов по выбору (биология, химия). Из этого можно сделать несколько предположений: при определении экзаменов не уверены в правильности своего выбора, следовательно, профориентационная работа проводится на недостаточном уровне. Наиболее высокие результаты выпускники демонстрировали по биологии, химии и информатике. В ГИА-24 снижение уровня освоения образовательного стандарта наблюдается по: обществознанию, истории.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Предложения: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-классным руководителям и учителям усилить контроль за посещаемостью учащимися индивидуальных консультаций, еженедельно информировать родителей об уровне подготовки учащихся к экзаменам.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-администрации школы поставить на внутришкольный контроль систему работы учит</w:t>
      </w:r>
      <w:bookmarkStart w:id="0" w:name="_GoBack"/>
      <w:bookmarkEnd w:id="0"/>
      <w:r>
        <w:rPr>
          <w:rFonts w:eastAsia="Calibri" w:cs="Times New Roman" w:ascii="Times New Roman" w:hAnsi="Times New Roman"/>
          <w:sz w:val="24"/>
          <w:szCs w:val="24"/>
        </w:rPr>
        <w:t>елей-предметников с целью выявления сформированности ЗУН выпускников и оказания помощи учащимся, нуждающимся в педагогической поддержке.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-продолжить создание системы организации государственной итоговой аттестации для выпускников школы в форме ОГЭ, ЕГЭ через повышение информированности всех участников образовательного процесса.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Рекомендации педагогическому коллективу для достижения лучших результатов государственной итоговой аттестации: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 xml:space="preserve">-провести детальный анализ ошибок, допущенных учащимися на экзамене;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>-продумать индивидуальную работу с учащимися как на уроке, так и во внеурочное время, направленную на формирование устойчивых компетенций в предмете;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>-ознакомиться с изменениями материалов ГИА в 2025 году;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>-для содержательного анализа и дальнейшего использования результатов государственной итоговой аттестации учителям-предметникам необходимо изучить аналитические материалы выполнения заданий по контрольно-измерительным материалам 2023-2024учебного года;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 xml:space="preserve">-обсудить на заседании предметных методических объединениях результаты государственной итоговой аттестации выпускников 11 класса по итогам года;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 xml:space="preserve">-проанализировать результаты года, с выявлением типичных ошибок и успехов;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>-разработать план повышения качества и обеспечить его выполнение в течение года;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 xml:space="preserve">-продолжить работу над увеличением количества высоких результатов учащихся;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>-по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2024-2025 учебный год.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 xml:space="preserve">Руководителям школьных МО проанализировать результаты государственной итоговой аттестации 2023-2024учебного года, включить в план работы на 2024-2025 учебный год вопросы подготовки к государственной итоговой аттестации выпускников 9, 11-х классов;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 xml:space="preserve">-совершенствовать методику преподавания с учетом требований государственной итоговой аттестации;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>-разнообразить формы работы школьного психолога, включить в план работы школьных МО деятельность с одаренными и слабоуспевающими учащимися.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568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3f9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Без интервала Знак"/>
    <w:link w:val="NoSpacing"/>
    <w:uiPriority w:val="1"/>
    <w:qFormat/>
    <w:rsid w:val="00343f9f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link w:val="Style14"/>
    <w:uiPriority w:val="1"/>
    <w:qFormat/>
    <w:rsid w:val="00343f9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343f9f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343f9f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343f9f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LibreOffice/7.5.6.2$Linux_X86_64 LibreOffice_project/50$Build-2</Application>
  <AppVersion>15.0000</AppVersion>
  <Pages>6</Pages>
  <Words>1770</Words>
  <Characters>11573</Characters>
  <CharactersWithSpaces>13057</CharactersWithSpaces>
  <Paragraphs>445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2024-08-15T08:19:00Z</dcterms:created>
  <dc:creator>Uzer</dc:creator>
  <dc:description/>
  <dc:language>ru-RU</dc:language>
  <cp:lastModifiedBy/>
  <cp:lastPrinted>2024-08-29T08:36:09Z</cp:lastPrinted>
  <dcterms:modified xsi:type="dcterms:W3CDTF">2024-09-09T14:43:04Z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